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7"/>
    <w:p>
      <w:pPr>
        <w:pStyle w:val="Heading1"/>
      </w:pPr>
      <w:r>
        <w:t xml:space="preserve">Homiletics Analysis: Psalms 127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127 is a Wisdom Psalm attributed to Solomon, positioned among the Songs of Ascent (Psalms 120–134) — pilgrimage hymns sung by Israelites ascending to Jerusalem for the great festivals. The psalm divides cleanly into two movements. The first (vv. 1–2) addresses the futility of human striving apart from the LORD: building, guarding, and laboring are all rendered vain unless the LORD is the active agent. The Hebrew word</w:t>
      </w:r>
      <w:r>
        <w:t xml:space="preserve"> </w:t>
      </w:r>
      <w:r>
        <w:rPr>
          <w:i/>
          <w:iCs/>
        </w:rPr>
        <w:t xml:space="preserve">shav’</w:t>
      </w:r>
      <w:r>
        <w:t xml:space="preserve"> </w:t>
      </w:r>
      <w:r>
        <w:t xml:space="preserve">(vanity/emptiness) appears three times in two verses, hammering the point with rhetorical force. The closing couplet of v. 2 — that God gives sleep to His beloved — is not a promise of insomnia relief but a statement of radical trust: the one who rests in God’s provision does not need to anxiously labor before dawn and after dark to secure what only God can give. The second movement (vv. 3–5) shifts to the household: children are not the product of shrewd family planning or human ambition but a heritage and reward from the LORD. The warrior-imagery of arrows and a full quiver frames children as divine provision that arms a man for the adversities and negotiations of life in the city gate — the ancient seat of civic and judicial affairs. Together, the two movements make a single unified claim about the source of all genuine security: the city is not secured by its builders; the house is not secured by its guardians; the family is not secured by its parents — the LORD is the builder, the guardian, the giver.</w:t>
      </w:r>
    </w:p>
    <w:p>
      <w:pPr>
        <w:pStyle w:val="BodyText"/>
      </w:pPr>
      <w:r>
        <w:rPr>
          <w:b/>
          <w:bCs/>
        </w:rPr>
        <w:t xml:space="preserve">This Text — Intent</w:t>
      </w:r>
    </w:p>
    <w:p>
      <w:pPr>
        <w:pStyle w:val="BodyText"/>
      </w:pPr>
      <w:r>
        <w:t xml:space="preserve">God is calling His people to release their grip on self-secured lives. The psalm confronts the idolatry of anxious striving — the deep human conviction that if we just work harder, plan better, stay up later, and position ourselves more shrewdly, we can secure what we most fear losing: our communities, our households, our legacies. Through the sharp juxtaposition of</w:t>
      </w:r>
      <w:r>
        <w:t xml:space="preserve"> </w:t>
      </w:r>
      <w:r>
        <w:rPr>
          <w:i/>
          <w:iCs/>
        </w:rPr>
        <w:t xml:space="preserve">vanity</w:t>
      </w:r>
      <w:r>
        <w:t xml:space="preserve"> </w:t>
      </w:r>
      <w:r>
        <w:t xml:space="preserve">and</w:t>
      </w:r>
      <w:r>
        <w:t xml:space="preserve"> </w:t>
      </w:r>
      <w:r>
        <w:rPr>
          <w:i/>
          <w:iCs/>
        </w:rPr>
        <w:t xml:space="preserve">gift</w:t>
      </w:r>
      <w:r>
        <w:t xml:space="preserve">, God intends to expose the exhaustion of self-sufficient labor and draw His people into a posture of active, restful trust — laboring genuinely but not anxiously, building genuinely but not as though the outcome rests on their own effort. The intended effect is the relief of false burden and the restoration of right dependence on the LORD as the true builder, guardian, and giver of everything the psalm names.</w:t>
      </w:r>
    </w:p>
    <w:p>
      <w:r>
        <w:pict>
          <v:rect style="width:0;height:1.5pt" o:hralign="center" o:hrstd="t" o:hr="t"/>
        </w:pict>
      </w:r>
    </w:p>
    <w:p>
      <w:pPr>
        <w:pStyle w:val="FirstParagraph"/>
      </w:pPr>
      <w:r>
        <w:rPr>
          <w:b/>
          <w:bCs/>
        </w:rPr>
        <w:t xml:space="preserve">Subject Sentence:</w:t>
      </w:r>
      <w:r>
        <w:t xml:space="preserve"> </w:t>
      </w:r>
      <w:r>
        <w:t xml:space="preserve">Unless the LORD builds and guards, all human striving is empty.</w:t>
      </w:r>
    </w:p>
    <w:p>
      <w:r>
        <w:pict>
          <v:rect style="width:0;height:1.5pt" o:hralign="center" o:hrstd="t" o:hr="t"/>
        </w:pict>
      </w:r>
    </w:p>
    <w:p>
      <w:pPr>
        <w:pStyle w:val="FirstParagraph"/>
      </w:pPr>
      <w:r>
        <w:rPr>
          <w:b/>
          <w:bCs/>
        </w:rPr>
        <w:t xml:space="preserve">Primary Claim:</w:t>
      </w:r>
      <w:r>
        <w:t xml:space="preserve"> </w:t>
      </w:r>
      <w:r>
        <w:t xml:space="preserve">God is confronting the idolatry of anxious self-sufficiency and calling His people to rest in the recognition that every genuine security — city, household, legacy — is His gift, not their achievement.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sleep of v. 2 — rest or gift?</w:t>
      </w:r>
    </w:p>
    <w:p>
      <w:pPr>
        <w:pStyle w:val="BodyText"/>
      </w:pPr>
      <w:r>
        <w:t xml:space="preserve">The crux of v. 2 is the phrase typically rendered</w:t>
      </w:r>
      <w:r>
        <w:t xml:space="preserve"> </w:t>
      </w:r>
      <w:r>
        <w:t xml:space="preserve">“He grants sleep to those He loves”</w:t>
      </w:r>
      <w:r>
        <w:t xml:space="preserve"> </w:t>
      </w:r>
      <w:r>
        <w:t xml:space="preserve">(NIV) or</w:t>
      </w:r>
      <w:r>
        <w:t xml:space="preserve"> </w:t>
      </w:r>
      <w:r>
        <w:t xml:space="preserve">“He gives to His beloved sleep”</w:t>
      </w:r>
      <w:r>
        <w:t xml:space="preserve"> </w:t>
      </w:r>
      <w:r>
        <w:t xml:space="preserve">(ESV). Two readings compete. The first takes</w:t>
      </w:r>
      <w:r>
        <w:t xml:space="preserve"> </w:t>
      </w:r>
      <w:r>
        <w:rPr>
          <w:i/>
          <w:iCs/>
        </w:rPr>
        <w:t xml:space="preserve">sleep</w:t>
      </w:r>
      <w:r>
        <w:t xml:space="preserve"> </w:t>
      </w:r>
      <w:r>
        <w:t xml:space="preserve">as the direct object — God gives sleep (rest, peace of mind) to the one who trusts Him rather than straining anxiously. The second takes</w:t>
      </w:r>
      <w:r>
        <w:t xml:space="preserve"> </w:t>
      </w:r>
      <w:r>
        <w:rPr>
          <w:i/>
          <w:iCs/>
        </w:rPr>
        <w:t xml:space="preserve">sleep</w:t>
      </w:r>
      <w:r>
        <w:t xml:space="preserve"> </w:t>
      </w:r>
      <w:r>
        <w:t xml:space="preserve">as an adverbial modifier — God gives</w:t>
      </w:r>
      <w:r>
        <w:t xml:space="preserve"> </w:t>
      </w:r>
      <w:r>
        <w:rPr>
          <w:i/>
          <w:iCs/>
        </w:rPr>
        <w:t xml:space="preserve">while they sleep</w:t>
      </w:r>
      <w:r>
        <w:t xml:space="preserve">, meaning provision comes without frantic human effort, even in rest. The second reading is grammatically possible in Hebrew (</w:t>
      </w:r>
      <w:r>
        <w:rPr>
          <w:i/>
          <w:iCs/>
        </w:rPr>
        <w:t xml:space="preserve">b’shena</w:t>
      </w:r>
      <w:r>
        <w:t xml:space="preserve"> </w:t>
      </w:r>
      <w:r>
        <w:t xml:space="preserve">can function adverbially) and is preferred by Calvin and many Reformed commentators: the point is not merely that God grants peace but that God is so sovereign over outcomes that He provides for His beloved even when they are not laboring. Both readings support the psalm’s primary claim, but the second reading carries greater weight: it is more polemical — God does not merely soothe the anxious laborer, He overturns the premise that continuous labor is what secures the outcome. The Reformed reading prefers this: God’s providential governance means human labor is real but not ultimate.</w:t>
      </w:r>
    </w:p>
    <w:p>
      <w:pPr>
        <w:pStyle w:val="BodyText"/>
      </w:pPr>
      <w:r>
        <w:rPr>
          <w:b/>
          <w:bCs/>
        </w:rPr>
        <w:t xml:space="preserve">The children section — prosperity gospel or creational blessing?</w:t>
      </w:r>
    </w:p>
    <w:p>
      <w:pPr>
        <w:pStyle w:val="BodyText"/>
      </w:pPr>
      <w:r>
        <w:t xml:space="preserve">Some traditions read vv. 3–5 as a general promise of material prosperity — obey God and your quiver will be full. This reads the passage as a straightforward conditional: faithfulness produces offspring and social strength. This misreads the genre. Wisdom literature makes observations about the shape of a well-ordered life under God’s governance; it does not issue unconditional individual guarantees. The psalm’s point is not that every covenant family will have many children, but that children — where they are given — are not the product of human ambition but the LORD’s heritage. The Prosperity Gospel reading is refuted: it imports a quid pro quo that the text does not offer and that the broader canon actively contradicts (Job, Hannah’s barrenness, the childless Paul). The Reformed reading acknowledges the creational blessing dimension (children are genuinely good, genuinely from God) while resisting the mechanistic prosperity application. The text calls for gratitude and dependence, not a technique for family expansion.</w:t>
      </w:r>
    </w:p>
    <w:p>
      <w:pPr>
        <w:pStyle w:val="BodyText"/>
      </w:pPr>
      <w:r>
        <w:rPr>
          <w:b/>
          <w:bCs/>
        </w:rPr>
        <w:t xml:space="preserve">The two movements — are they unified or accidentally conjoined?</w:t>
      </w:r>
    </w:p>
    <w:p>
      <w:pPr>
        <w:pStyle w:val="BodyText"/>
      </w:pPr>
      <w:r>
        <w:t xml:space="preserve">Some commentators treat the psalm as two originally separate units joined editorially, with no organic unity between the civic/building theme (vv. 1–2) and the household/children theme (vv. 3–5). This reading underestimates the psalm’s rhetorical coherence. The unifying claim is the LORD as the source of all genuine security — the city, the house, and the legacy. The movement from city to household to children is a descending scale from public to private, from civic to familial, from the guarded wall to the quiver of arrows. The same LORD who governs the city governs the womb. This reading — treating the psalm as a unified whole making a single claim across two domains — is both literarily more satisfying and theologically richer, and it is the reading the canonical placement among the Songs of Ascent supports.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21:30–31</w:t>
      </w:r>
      <w:r>
        <w:t xml:space="preserve"> </w:t>
      </w:r>
      <w:r>
        <w:t xml:space="preserve">—</w:t>
      </w:r>
      <w:r>
        <w:t xml:space="preserve"> </w:t>
      </w:r>
      <w:r>
        <w:rPr>
          <w:i/>
          <w:iCs/>
        </w:rPr>
        <w:t xml:space="preserve">“There is no wisdom, no insight, no plan that can succeed against the LORD. The horse is made ready for the day of battle, but victory rests with the LORD.”</w:t>
      </w:r>
      <w:r>
        <w:t xml:space="preserve"> </w:t>
      </w:r>
      <w:r>
        <w:t xml:space="preserve">The most direct parallel to Psalm 127:1 — preparation is real and commanded, but outcome belongs to God alone.</w:t>
      </w:r>
    </w:p>
    <w:p>
      <w:pPr>
        <w:numPr>
          <w:ilvl w:val="0"/>
          <w:numId w:val="1001"/>
        </w:numPr>
      </w:pPr>
      <w:r>
        <w:rPr>
          <w:b/>
          <w:bCs/>
        </w:rPr>
        <w:t xml:space="preserve">Genesis 33:5</w:t>
      </w:r>
      <w:r>
        <w:t xml:space="preserve"> </w:t>
      </w:r>
      <w:r>
        <w:t xml:space="preserve">— Jacob credits God, not his own virility or domestic management, as the source of his children:</w:t>
      </w:r>
      <w:r>
        <w:t xml:space="preserve"> </w:t>
      </w:r>
      <w:r>
        <w:rPr>
          <w:i/>
          <w:iCs/>
        </w:rPr>
        <w:t xml:space="preserve">“They are the children God has graciously given your servant.”</w:t>
      </w:r>
      <w:r>
        <w:t xml:space="preserve"> </w:t>
      </w:r>
      <w:r>
        <w:t xml:space="preserve">The children-as-gift theology of vv. 3–5 runs through the whole patriarchal narrative.</w:t>
      </w:r>
    </w:p>
    <w:p>
      <w:pPr>
        <w:numPr>
          <w:ilvl w:val="0"/>
          <w:numId w:val="1001"/>
        </w:numPr>
      </w:pPr>
      <w:r>
        <w:rPr>
          <w:b/>
          <w:bCs/>
        </w:rPr>
        <w:t xml:space="preserve">Nehemiah 4:9</w:t>
      </w:r>
      <w:r>
        <w:t xml:space="preserve"> </w:t>
      </w:r>
      <w:r>
        <w:t xml:space="preserve">—</w:t>
      </w:r>
      <w:r>
        <w:t xml:space="preserve"> </w:t>
      </w:r>
      <w:r>
        <w:rPr>
          <w:i/>
          <w:iCs/>
        </w:rPr>
        <w:t xml:space="preserve">“We prayed to our God and posted a guard day and night.”</w:t>
      </w:r>
      <w:r>
        <w:t xml:space="preserve"> </w:t>
      </w:r>
      <w:r>
        <w:t xml:space="preserve">Nehemiah models precisely what Psalm 127 calls for: genuine, diligent human effort paired with explicit dependence on the LORD — building without pretending the building secures itself.</w:t>
      </w:r>
    </w:p>
    <w:p>
      <w:pPr>
        <w:numPr>
          <w:ilvl w:val="0"/>
          <w:numId w:val="1001"/>
        </w:numPr>
      </w:pPr>
      <w:r>
        <w:rPr>
          <w:b/>
          <w:bCs/>
        </w:rPr>
        <w:t xml:space="preserve">Matthew 6:25–34</w:t>
      </w:r>
      <w:r>
        <w:t xml:space="preserve"> </w:t>
      </w:r>
      <w:r>
        <w:t xml:space="preserve">— Jesus extends the psalm’s logic into the New Covenant: anxious striving over food, clothing, and the basic securities of life is the posture of those who do not know their Father.</w:t>
      </w:r>
      <w:r>
        <w:t xml:space="preserve"> </w:t>
      </w:r>
      <w:r>
        <w:rPr>
          <w:i/>
          <w:iCs/>
        </w:rPr>
        <w:t xml:space="preserve">“Seek first the kingdom… and all these things will be added.”</w:t>
      </w:r>
      <w:r>
        <w:t xml:space="preserve"> </w:t>
      </w:r>
      <w:r>
        <w:t xml:space="preserve">The sleep of Psalm 127:2 becomes the</w:t>
      </w:r>
      <w:r>
        <w:t xml:space="preserve"> </w:t>
      </w:r>
      <w:r>
        <w:rPr>
          <w:i/>
          <w:iCs/>
        </w:rPr>
        <w:t xml:space="preserve">“do not worry about tomorrow”</w:t>
      </w:r>
      <w:r>
        <w:t xml:space="preserve"> </w:t>
      </w:r>
      <w:r>
        <w:t xml:space="preserve">of Christ’s teaching.</w:t>
      </w:r>
    </w:p>
    <w:p>
      <w:pPr>
        <w:numPr>
          <w:ilvl w:val="0"/>
          <w:numId w:val="1001"/>
        </w:numPr>
      </w:pPr>
      <w:r>
        <w:rPr>
          <w:b/>
          <w:bCs/>
        </w:rPr>
        <w:t xml:space="preserve">1 Corinthians 3:6–7</w:t>
      </w:r>
      <w:r>
        <w:t xml:space="preserve"> </w:t>
      </w:r>
      <w:r>
        <w:t xml:space="preserve">—</w:t>
      </w:r>
      <w:r>
        <w:t xml:space="preserve"> </w:t>
      </w:r>
      <w:r>
        <w:rPr>
          <w:i/>
          <w:iCs/>
        </w:rPr>
        <w:t xml:space="preserve">“I planted, Apollos watered, but God gave the growth. So neither the one who plants nor the one who waters is anything, but only God, who makes things grow.”</w:t>
      </w:r>
      <w:r>
        <w:t xml:space="preserve"> </w:t>
      </w:r>
      <w:r>
        <w:t xml:space="preserve">Paul applies Psalm 127’s logic explicitly to gospel ministry — labor is real, but the LORD builds the house.</w:t>
      </w:r>
    </w:p>
    <w:p>
      <w:r>
        <w:pict>
          <v:rect style="width:0;height:1.5pt" o:hralign="center" o:hrstd="t" o:hr="t"/>
        </w:pict>
      </w:r>
    </w:p>
    <w:p>
      <w:pPr>
        <w:pStyle w:val="FirstParagraph"/>
      </w:pPr>
      <w:r>
        <w:rPr>
          <w:b/>
          <w:bCs/>
        </w:rPr>
        <w:t xml:space="preserve">Aim:</w:t>
      </w:r>
      <w:r>
        <w:t xml:space="preserve"> </w:t>
      </w:r>
      <w:r>
        <w:t xml:space="preserve">To expose the exhaustion and futility of self-secured living and move the reader to active, non-anxious trust in the LORD as the sole builder, guardian, and giver of every genuine security.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Unless the LORD builds the house, the builders labor in vain</w:t>
            </w:r>
          </w:p>
        </w:tc>
        <w:tc>
          <w:tcPr/>
          <w:p>
            <w:pPr>
              <w:pStyle w:val="Compact"/>
            </w:pPr>
            <w:r>
              <w:rPr>
                <w:i/>
                <w:iCs/>
              </w:rPr>
              <w:t xml:space="preserve">shav’</w:t>
            </w:r>
            <w:r>
              <w:t xml:space="preserve"> </w:t>
            </w:r>
            <w:r>
              <w:t xml:space="preserve">— vanity, emptiness, breath; first use</w:t>
            </w:r>
          </w:p>
        </w:tc>
      </w:tr>
      <w:tr>
        <w:tc>
          <w:tcPr/>
          <w:p>
            <w:pPr>
              <w:pStyle w:val="Compact"/>
            </w:pPr>
            <w:r>
              <w:t xml:space="preserve">1b</w:t>
            </w:r>
          </w:p>
        </w:tc>
        <w:tc>
          <w:tcPr/>
          <w:p>
            <w:pPr>
              <w:pStyle w:val="Compact"/>
            </w:pPr>
            <w:r>
              <w:t xml:space="preserve">Unless the LORD watches over the city, the watchmen stand guard in vain</w:t>
            </w:r>
          </w:p>
        </w:tc>
        <w:tc>
          <w:tcPr/>
          <w:p>
            <w:pPr>
              <w:pStyle w:val="Compact"/>
            </w:pPr>
            <w:r>
              <w:rPr>
                <w:i/>
                <w:iCs/>
              </w:rPr>
              <w:t xml:space="preserve">shav’</w:t>
            </w:r>
            <w:r>
              <w:t xml:space="preserve"> </w:t>
            </w:r>
            <w:r>
              <w:t xml:space="preserve">— second use; guards and builders are parallelized</w:t>
            </w:r>
          </w:p>
        </w:tc>
      </w:tr>
      <w:tr>
        <w:tc>
          <w:tcPr/>
          <w:p>
            <w:pPr>
              <w:pStyle w:val="Compact"/>
            </w:pPr>
            <w:r>
              <w:t xml:space="preserve">2a</w:t>
            </w:r>
          </w:p>
        </w:tc>
        <w:tc>
          <w:tcPr/>
          <w:p>
            <w:pPr>
              <w:pStyle w:val="Compact"/>
            </w:pPr>
            <w:r>
              <w:t xml:space="preserve">In vain you rise early and stay up late, toiling for food to eat</w:t>
            </w:r>
          </w:p>
        </w:tc>
        <w:tc>
          <w:tcPr/>
          <w:p>
            <w:pPr>
              <w:pStyle w:val="Compact"/>
            </w:pPr>
            <w:r>
              <w:rPr>
                <w:i/>
                <w:iCs/>
              </w:rPr>
              <w:t xml:space="preserve">shav’</w:t>
            </w:r>
            <w:r>
              <w:t xml:space="preserve"> </w:t>
            </w:r>
            <w:r>
              <w:t xml:space="preserve">— third use; the pattern of anxious labor across the whole day</w:t>
            </w:r>
          </w:p>
        </w:tc>
      </w:tr>
      <w:tr>
        <w:tc>
          <w:tcPr/>
          <w:p>
            <w:pPr>
              <w:pStyle w:val="Compact"/>
            </w:pPr>
            <w:r>
              <w:t xml:space="preserve">2b</w:t>
            </w:r>
          </w:p>
        </w:tc>
        <w:tc>
          <w:tcPr/>
          <w:p>
            <w:pPr>
              <w:pStyle w:val="Compact"/>
            </w:pPr>
            <w:r>
              <w:t xml:space="preserve">For He grants sleep to those He loves</w:t>
            </w:r>
          </w:p>
        </w:tc>
        <w:tc>
          <w:tcPr/>
          <w:p>
            <w:pPr>
              <w:pStyle w:val="Compact"/>
            </w:pPr>
            <w:r>
              <w:t xml:space="preserve">The gift of rest/provision to the beloved; interpretive crux</w:t>
            </w:r>
          </w:p>
        </w:tc>
      </w:tr>
      <w:tr>
        <w:tc>
          <w:tcPr/>
          <w:p>
            <w:pPr>
              <w:pStyle w:val="Compact"/>
            </w:pPr>
            <w:r>
              <w:t xml:space="preserve">3</w:t>
            </w:r>
          </w:p>
        </w:tc>
        <w:tc>
          <w:tcPr/>
          <w:p>
            <w:pPr>
              <w:pStyle w:val="Compact"/>
            </w:pPr>
            <w:r>
              <w:t xml:space="preserve">Children are a heritage from the LORD, offspring a reward from Him</w:t>
            </w:r>
          </w:p>
        </w:tc>
        <w:tc>
          <w:tcPr/>
          <w:p>
            <w:pPr>
              <w:pStyle w:val="Compact"/>
            </w:pPr>
            <w:r>
              <w:rPr>
                <w:i/>
                <w:iCs/>
              </w:rPr>
              <w:t xml:space="preserve">nachalah</w:t>
            </w:r>
            <w:r>
              <w:t xml:space="preserve"> </w:t>
            </w:r>
            <w:r>
              <w:t xml:space="preserve">(heritage/inheritance) — covenantal term; children reframed as divine gift</w:t>
            </w:r>
          </w:p>
        </w:tc>
      </w:tr>
      <w:tr>
        <w:tc>
          <w:tcPr/>
          <w:p>
            <w:pPr>
              <w:pStyle w:val="Compact"/>
            </w:pPr>
            <w:r>
              <w:t xml:space="preserve">4</w:t>
            </w:r>
          </w:p>
        </w:tc>
        <w:tc>
          <w:tcPr/>
          <w:p>
            <w:pPr>
              <w:pStyle w:val="Compact"/>
            </w:pPr>
            <w:r>
              <w:t xml:space="preserve">Like arrows in the hands of a warrior are children born in one’s youth</w:t>
            </w:r>
          </w:p>
        </w:tc>
        <w:tc>
          <w:tcPr/>
          <w:p>
            <w:pPr>
              <w:pStyle w:val="Compact"/>
            </w:pPr>
            <w:r>
              <w:t xml:space="preserve">Warrior-imagery: children as strategic provision, not mere sentiment</w:t>
            </w:r>
          </w:p>
        </w:tc>
      </w:tr>
      <w:tr>
        <w:tc>
          <w:tcPr/>
          <w:p>
            <w:pPr>
              <w:pStyle w:val="Compact"/>
            </w:pPr>
            <w:r>
              <w:t xml:space="preserve">5</w:t>
            </w:r>
          </w:p>
        </w:tc>
        <w:tc>
          <w:tcPr/>
          <w:p>
            <w:pPr>
              <w:pStyle w:val="Compact"/>
            </w:pPr>
            <w:r>
              <w:t xml:space="preserve">Blessed is the man whose quiver is full of them; he will not be put to shame when he contends with his opponents in the gate</w:t>
            </w:r>
          </w:p>
        </w:tc>
        <w:tc>
          <w:tcPr/>
          <w:p>
            <w:pPr>
              <w:pStyle w:val="Compact"/>
            </w:pPr>
            <w:r>
              <w:t xml:space="preserve">The city gate: seat of civic judgment and dispute; a full quiver = social strength and protection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Vanity of Self-Secured Labor: Building, Guarding, Striving</w:t>
            </w:r>
          </w:p>
        </w:tc>
      </w:tr>
      <w:tr>
        <w:tc>
          <w:tcPr/>
          <w:p>
            <w:pPr>
              <w:pStyle w:val="Compact"/>
            </w:pPr>
            <w:r>
              <w:t xml:space="preserve">2</w:t>
            </w:r>
          </w:p>
        </w:tc>
        <w:tc>
          <w:tcPr/>
          <w:p>
            <w:pPr>
              <w:pStyle w:val="Compact"/>
            </w:pPr>
            <w:r>
              <w:t xml:space="preserve">3–5</w:t>
            </w:r>
          </w:p>
        </w:tc>
        <w:tc>
          <w:tcPr/>
          <w:p>
            <w:pPr>
              <w:pStyle w:val="Compact"/>
            </w:pPr>
            <w:r>
              <w:t xml:space="preserve">The Gift of God-Given Legacy: Heritage, Arrows, the Full Quiver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Unless the LORD builds and guards, all human striving is empty.</w:t>
      </w:r>
    </w:p>
    <w:p>
      <w:pPr>
        <w:pStyle w:val="BodyText"/>
      </w:pPr>
      <w:r>
        <w:rPr>
          <w:b/>
          <w:bCs/>
        </w:rPr>
        <w:t xml:space="preserve">Primary Claim:</w:t>
      </w:r>
      <w:r>
        <w:t xml:space="preserve"> </w:t>
      </w:r>
      <w:r>
        <w:t xml:space="preserve">God is confronting the idolatry of anxious self-sufficiency and calling His people to rest in the recognition that every genuine security — city, household, legacy — is His gift, not their achievement.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 are building without the LORD</w:t>
      </w:r>
      <w:r>
        <w:t xml:space="preserve"> </w:t>
      </w:r>
      <w:r>
        <w:rPr>
          <w:i/>
          <w:iCs/>
        </w:rPr>
        <w:t xml:space="preserve">(Mind/Belief)</w:t>
      </w:r>
    </w:p>
    <w:p>
      <w:pPr>
        <w:pStyle w:val="BodyText"/>
      </w:pPr>
      <w:r>
        <w:t xml:space="preserve">Verse 1 does not say that building is wrong — it says that building without the LORD is</w:t>
      </w:r>
      <w:r>
        <w:t xml:space="preserve"> </w:t>
      </w:r>
      <w:r>
        <w:rPr>
          <w:i/>
          <w:iCs/>
        </w:rPr>
        <w:t xml:space="preserve">vain</w:t>
      </w:r>
      <w:r>
        <w:t xml:space="preserve">. The psalm assumes you are building something: a career, a marriage, a household, a ministry, a reputation. The question it forces is not</w:t>
      </w:r>
      <w:r>
        <w:t xml:space="preserve"> </w:t>
      </w:r>
      <w:r>
        <w:t xml:space="preserve">“are you working?”</w:t>
      </w:r>
      <w:r>
        <w:t xml:space="preserve"> </w:t>
      </w:r>
      <w:r>
        <w:t xml:space="preserve">but</w:t>
      </w:r>
      <w:r>
        <w:t xml:space="preserve"> </w:t>
      </w:r>
      <w:r>
        <w:t xml:space="preserve">“whose sovereignty are you actually counting on when you work?”</w:t>
      </w:r>
      <w:r>
        <w:t xml:space="preserve"> </w:t>
      </w:r>
      <w:r>
        <w:t xml:space="preserve">Identify one domain where your planning and effort have quietly displaced dependence on God — where you have mistaken the reality of your labor for the source of your outcome — and deliberately bring that domain under prayerful acknowledgment that the LORD is the builder, or the building is empty.</w:t>
      </w:r>
    </w:p>
    <w:p>
      <w:pPr>
        <w:pStyle w:val="BodyText"/>
      </w:pPr>
      <w:r>
        <w:rPr>
          <w:b/>
          <w:bCs/>
        </w:rPr>
        <w:t xml:space="preserve">2. Receive your children (or their absence) from God’s hand, not your own</w:t>
      </w:r>
      <w:r>
        <w:t xml:space="preserve"> </w:t>
      </w:r>
      <w:r>
        <w:rPr>
          <w:i/>
          <w:iCs/>
        </w:rPr>
        <w:t xml:space="preserve">(Affections/Worship)</w:t>
      </w:r>
    </w:p>
    <w:p>
      <w:pPr>
        <w:pStyle w:val="BodyText"/>
      </w:pPr>
      <w:r>
        <w:t xml:space="preserve">Verses 3–5 reframe children as</w:t>
      </w:r>
      <w:r>
        <w:t xml:space="preserve"> </w:t>
      </w:r>
      <w:r>
        <w:rPr>
          <w:i/>
          <w:iCs/>
        </w:rPr>
        <w:t xml:space="preserve">heritage</w:t>
      </w:r>
      <w:r>
        <w:t xml:space="preserve"> </w:t>
      </w:r>
      <w:r>
        <w:t xml:space="preserve">— a covenantal term — not as a product of your biology, your parenting strategy, or your relational success. For those who have children, this demands a shift in posture from ownership to stewardship: they are not yours to control or complete, but God’s gift entrusted to your care. For those who grieve childlessness or difficult family circumstances, this passage — rightly read — does not condemn but invites: the God who gives also knows what He has not given, and He remains the giver of every heritage. In both cases, worship is the right response — not anxiety, not pride, not grief that has no anchor.</w:t>
      </w:r>
    </w:p>
    <w:p>
      <w:pPr>
        <w:pStyle w:val="BodyText"/>
      </w:pPr>
      <w:r>
        <w:rPr>
          <w:b/>
          <w:bCs/>
        </w:rPr>
        <w:t xml:space="preserve">3. Let the rhythm of sleep rebuke your anxious striving</w:t>
      </w:r>
      <w:r>
        <w:t xml:space="preserve"> </w:t>
      </w:r>
      <w:r>
        <w:rPr>
          <w:i/>
          <w:iCs/>
        </w:rPr>
        <w:t xml:space="preserve">(Will/Behavior)</w:t>
      </w:r>
    </w:p>
    <w:p>
      <w:pPr>
        <w:pStyle w:val="BodyText"/>
      </w:pPr>
      <w:r>
        <w:t xml:space="preserve">The promise of v. 2 is not merely comforting — it is a behavioral rebuke. Rising before dawn and staying up late as a way of securing outcomes that God governs is</w:t>
      </w:r>
      <w:r>
        <w:t xml:space="preserve"> </w:t>
      </w:r>
      <w:r>
        <w:rPr>
          <w:i/>
          <w:iCs/>
        </w:rPr>
        <w:t xml:space="preserve">vain</w:t>
      </w:r>
      <w:r>
        <w:t xml:space="preserve"> </w:t>
      </w:r>
      <w:r>
        <w:t xml:space="preserve">— not virtuous. The practical application is concrete: examine your sleep and your schedule not as time-management questions but as theology questions. Are you resting as someone who trusts the LORD’s governance, or are you chronically exhausted because you are secretly carrying what only God can carry? The command embedded in this comfort is:</w:t>
      </w:r>
      <w:r>
        <w:t xml:space="preserve"> </w:t>
      </w:r>
      <w:r>
        <w:rPr>
          <w:i/>
          <w:iCs/>
        </w:rPr>
        <w:t xml:space="preserve">stop</w:t>
      </w:r>
      <w:r>
        <w:t xml:space="preserve">. Sleep as an act of trust. Rest as a declaration that you are not the builder.</w:t>
      </w:r>
    </w:p>
    <w:p>
      <w:pPr>
        <w:pStyle w:val="BodyText"/>
      </w:pPr>
      <w:r>
        <w:rPr>
          <w:b/>
          <w:bCs/>
        </w:rPr>
        <w:t xml:space="preserve">4. Repent of the idol of self-sufficient legacy-building</w:t>
      </w:r>
      <w:r>
        <w:t xml:space="preserve"> </w:t>
      </w:r>
      <w:r>
        <w:rPr>
          <w:i/>
          <w:iCs/>
        </w:rPr>
        <w:t xml:space="preserve">(Affections/Worship)</w:t>
      </w:r>
    </w:p>
    <w:p>
      <w:pPr>
        <w:pStyle w:val="BodyText"/>
      </w:pPr>
      <w:r>
        <w:t xml:space="preserve">Every culture produces a version of the self-made legacy: the empire built by your own hands, the name secured by your own effort, the household standing because you held it together. Psalm 127 does not merely qualify this ambition — it calls it</w:t>
      </w:r>
      <w:r>
        <w:t xml:space="preserve"> </w:t>
      </w:r>
      <w:r>
        <w:rPr>
          <w:i/>
          <w:iCs/>
        </w:rPr>
        <w:t xml:space="preserve">vanity</w:t>
      </w:r>
      <w:r>
        <w:t xml:space="preserve">. The idol of self-secured legacy is not just ineffective; it is an act of functional atheism — living as though the outcome depends entirely on you. Repentance here is not passive resignation but active reorientation: naming the idol, renouncing the self-sufficiency, and placing the outcome of your building explicitly in the hands of the LORD who is actually building.</w:t>
      </w:r>
    </w:p>
    <w:p>
      <w:pPr>
        <w:pStyle w:val="BodyText"/>
      </w:pPr>
      <w:r>
        <w:rPr>
          <w:b/>
          <w:bCs/>
        </w:rPr>
        <w:t xml:space="preserve">5. Labor diligently — but without the anxiety that betrays unbelief</w:t>
      </w:r>
      <w:r>
        <w:t xml:space="preserve"> </w:t>
      </w:r>
      <w:r>
        <w:rPr>
          <w:i/>
          <w:iCs/>
        </w:rPr>
        <w:t xml:space="preserve">(Will/Behavior)</w:t>
      </w:r>
    </w:p>
    <w:p>
      <w:pPr>
        <w:pStyle w:val="BodyText"/>
      </w:pPr>
      <w:r>
        <w:t xml:space="preserve">Psalm 127 does not commend laziness. Builders build; guards guard; workers work; parents parent. The psalm’s target is not effort but anxiety — the frantic, unbelieving strain that works as though the LORD were absent and the outcome were entirely contingent on human force of will. The application is to practice the discipline of diligent, non-anxious labor: fully engaged in the work, genuinely committed to excellence, and simultaneously free from the crushing weight of believing the outcome rests on you. This is not resignation; it is the freedom of someone who knows who the real builder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127 teaches with uncommon directness that God is not a passive observer of human striving but the active sovereign who determines the outcome of every genuinely human enterprise — building, governing, labor, and family. The threefold repetition of</w:t>
      </w:r>
      <w:r>
        <w:t xml:space="preserve"> </w:t>
      </w:r>
      <w:r>
        <w:rPr>
          <w:i/>
          <w:iCs/>
        </w:rPr>
        <w:t xml:space="preserve">shav’</w:t>
      </w:r>
      <w:r>
        <w:t xml:space="preserve"> </w:t>
      </w:r>
      <w:r>
        <w:t xml:space="preserve">establishes that apart from the LORD’s involvement, even the most disciplined human effort produces nothing of lasting substance. The passage teaches the doctrine of providence not as an abstract theological category but as a lived reality that should govern the pace, posture, and motivation of daily work. The theology of children as</w:t>
      </w:r>
      <w:r>
        <w:t xml:space="preserve"> </w:t>
      </w:r>
      <w:r>
        <w:rPr>
          <w:i/>
          <w:iCs/>
        </w:rPr>
        <w:t xml:space="preserve">heritage</w:t>
      </w:r>
      <w:r>
        <w:t xml:space="preserve"> </w:t>
      </w:r>
      <w:r>
        <w:t xml:space="preserve">— a covenantal term — grounds the family not in biology or social contract but in divine gift, making gratitude and not pride the right response to flourishing, and faith and not despair the right response to absence or loss. God is here presented as the one who builds, guards, gives, and sustains — the only foundation on which anything lasting can stand.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127 gives direct exegetical grounding to the Reformed doctrine of God’s sovereign providence in ordinary life. The Reformed tradition has consistently insisted that human secondary causes are real — we build, guard, labor, and parent — but they are genuinely secondary: the outcome belongs to God and not to the instrument. The psalm resists both the errors that have perennially threatened Reformed application: fatalistic passivity (the LORD governs, so effort is pointless) and functional Pelagianism (the LORD may assist, but the outcome depends on the quality of my effort). Instead, it holds together genuine human agency and radical divine sovereignty in a way that produces active, restful obedience — what the Reformed tradition calls</w:t>
      </w:r>
      <w:r>
        <w:t xml:space="preserve"> </w:t>
      </w:r>
      <w:r>
        <w:rPr>
          <w:i/>
          <w:iCs/>
        </w:rPr>
        <w:t xml:space="preserve">coram Deo</w:t>
      </w:r>
      <w:r>
        <w:t xml:space="preserve"> </w:t>
      </w:r>
      <w:r>
        <w:t xml:space="preserve">living, working fully before the face of God and for His purposes. The framing of children as heritage also resonates with covenantal theology: the family is not merely a social unit but a locus of God’s covenant faithfulness, and its fruitfulness flows from divine gift rather than human merit. For the New Covenant believer, the Primary Claim reaches its fullest force in Christ — the one in whom God is building His house (Matthew 16:18), guarding His people (John 10:28–29), and guaranteeing an inheritance that no anxious human striving could ever secure (1 Peter 1:3–5).</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the builder. You are not. Every city you are trying to secure, every household you are trying to hold together, every legacy you are trying to construct on your own terms — all of it is</w:t>
      </w:r>
      <w:r>
        <w:t xml:space="preserve"> </w:t>
      </w:r>
      <w:r>
        <w:rPr>
          <w:i/>
          <w:iCs/>
        </w:rPr>
        <w:t xml:space="preserve">vain</w:t>
      </w:r>
      <w:r>
        <w:t xml:space="preserve"> </w:t>
      </w:r>
      <w:r>
        <w:t xml:space="preserve">unless the LORD is the one actually building it. Stop living like an atheist with a prayer life. Bring your building, your guarding, and your striving under the sovereignty of the God who gives to His beloved even in sleep — and rest in the one who has never stopped building.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children section as a blanket promise of large families.</w:t>
      </w:r>
      <w:r>
        <w:t xml:space="preserve"> </w:t>
      </w:r>
      <w:r>
        <w:t xml:space="preserve">Verses 3–5 are wisdom observation, not unconditional individual guarantee. Preaching this passage to a congregation that includes infertile couples, grieving parents, or those in singleness as though it promises a full quiver to the faithful is both exegetically wrong and pastorally devastating. The point is that children — where given — are God’s heritage, not the product of human ambition. The application must hold open the hand that receives, not make a claim God has not made.</w:t>
      </w:r>
    </w:p>
    <w:p>
      <w:pPr>
        <w:numPr>
          <w:ilvl w:val="0"/>
          <w:numId w:val="1002"/>
        </w:numPr>
      </w:pPr>
      <w:r>
        <w:rPr>
          <w:b/>
          <w:bCs/>
        </w:rPr>
        <w:t xml:space="preserve">Collapsing the passage into a self-help productivity sermon.</w:t>
      </w:r>
      <w:r>
        <w:t xml:space="preserve"> </w:t>
      </w:r>
      <w:r>
        <w:t xml:space="preserve">The temptation in preaching vv. 1–2 is to reduce it to</w:t>
      </w:r>
      <w:r>
        <w:t xml:space="preserve"> </w:t>
      </w:r>
      <w:r>
        <w:t xml:space="preserve">“make sure you include God in your work-life balance.”</w:t>
      </w:r>
      <w:r>
        <w:t xml:space="preserve"> </w:t>
      </w:r>
      <w:r>
        <w:t xml:space="preserve">This is not the psalm’s claim. The psalm is not offering a spiritual supplement to natural striving — it is confronting the premise that natural striving is what secures the outcome. The corrective is to keep</w:t>
      </w:r>
      <w:r>
        <w:t xml:space="preserve"> </w:t>
      </w:r>
      <w:r>
        <w:rPr>
          <w:i/>
          <w:iCs/>
        </w:rPr>
        <w:t xml:space="preserve">shav’</w:t>
      </w:r>
      <w:r>
        <w:t xml:space="preserve"> </w:t>
      </w:r>
      <w:r>
        <w:t xml:space="preserve">— vanity, emptiness — at the center and let it do its destabilizing work before offering the comfort of divine provision.</w:t>
      </w:r>
    </w:p>
    <w:p>
      <w:pPr>
        <w:numPr>
          <w:ilvl w:val="0"/>
          <w:numId w:val="1002"/>
        </w:numPr>
      </w:pPr>
      <w:r>
        <w:rPr>
          <w:b/>
          <w:bCs/>
        </w:rPr>
        <w:t xml:space="preserve">Spiritualizing the sleep of v. 2 into a therapeutic promise.</w:t>
      </w:r>
      <w:r>
        <w:t xml:space="preserve"> </w:t>
      </w:r>
      <w:r>
        <w:t xml:space="preserve">“God gives peace to those who trust Him”</w:t>
      </w:r>
      <w:r>
        <w:t xml:space="preserve"> </w:t>
      </w:r>
      <w:r>
        <w:t xml:space="preserve">is true but thinner than the text. The more powerful — and more textually defensible — reading is that God governs outcomes independent of the intensity of human effort, including while we sleep. Preaching the therapeutic version domesticates the radical sovereignty claim the psalm is actually making.</w:t>
      </w:r>
    </w:p>
    <w:p>
      <w:pPr>
        <w:numPr>
          <w:ilvl w:val="0"/>
          <w:numId w:val="1002"/>
        </w:numPr>
      </w:pPr>
      <w:r>
        <w:rPr>
          <w:b/>
          <w:bCs/>
        </w:rPr>
        <w:t xml:space="preserve">Ignoring the Solomonic attribution and its canonical irony.</w:t>
      </w:r>
      <w:r>
        <w:t xml:space="preserve"> </w:t>
      </w:r>
      <w:r>
        <w:t xml:space="preserve">The psalm is attributed to Solomon — the builder of the Temple, a man of extraordinary wealth and administrative achievement, and ultimately a man whose unchecked ambition and multiplied foreign marriages became his undoing. If the attribution is historical, Solomon knew from experience the truth of his own psalm. Preachers who note this irony open a powerful line of application: the wisdom to know that the LORD builds does not immunize even the wisest against the temptation to build for themselves.</w:t>
      </w:r>
    </w:p>
    <w:p>
      <w:pPr>
        <w:numPr>
          <w:ilvl w:val="0"/>
          <w:numId w:val="1002"/>
        </w:numPr>
      </w:pPr>
      <w:r>
        <w:rPr>
          <w:b/>
          <w:bCs/>
        </w:rPr>
        <w:t xml:space="preserve">Separating the two movements and losing the psalm’s unified claim.</w:t>
      </w:r>
      <w:r>
        <w:t xml:space="preserve"> </w:t>
      </w:r>
      <w:r>
        <w:t xml:space="preserve">Preaching vv. 1–2 on</w:t>
      </w:r>
      <w:r>
        <w:t xml:space="preserve"> </w:t>
      </w:r>
      <w:r>
        <w:t xml:space="preserve">“work and rest”</w:t>
      </w:r>
      <w:r>
        <w:t xml:space="preserve"> </w:t>
      </w:r>
      <w:r>
        <w:t xml:space="preserve">and then vv. 3–5 on</w:t>
      </w:r>
      <w:r>
        <w:t xml:space="preserve"> </w:t>
      </w:r>
      <w:r>
        <w:t xml:space="preserve">“family values”</w:t>
      </w:r>
      <w:r>
        <w:t xml:space="preserve"> </w:t>
      </w:r>
      <w:r>
        <w:t xml:space="preserve">in two disconnected halves misses the psalm’s rhetorical unity. The psalm makes one claim across two domains: the LORD is the source of every genuine security, from the city wall to the contents of the quiver. Exposition should hold both movements together under that single claim rather than producing two mini-sermons that happen to share a passage reference.</w:t>
      </w:r>
    </w:p>
    <w:p>
      <w:pPr>
        <w:numPr>
          <w:ilvl w:val="0"/>
          <w:numId w:val="1002"/>
        </w:numPr>
      </w:pPr>
      <w:r>
        <w:rPr>
          <w:b/>
          <w:bCs/>
        </w:rPr>
        <w:t xml:space="preserve">Producing moralistic application —</w:t>
      </w:r>
      <w:r>
        <w:rPr>
          <w:b/>
          <w:bCs/>
        </w:rPr>
        <w:t xml:space="preserve"> </w:t>
      </w:r>
      <w:r>
        <w:rPr>
          <w:b/>
          <w:bCs/>
        </w:rPr>
        <w:t xml:space="preserve">“work harder but also trust God more.”</w:t>
      </w:r>
      <w:r>
        <w:t xml:space="preserve"> </w:t>
      </w:r>
      <w:r>
        <w:t xml:space="preserve">The anti-moralism principle applies here: the passage is not issuing a technique for improved spiritual productivity. It is confronting an idol — self-secured living — and calling for repentance toward a posture of dependence. Application that issues in a to-do list without first exposing the idol and naming the relief of releasing it will leave the congregation working harder on two fronts rather than genuinely resting in the one who builds.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2026-07-14T21:04:23Z</dcterms:created>
  <dcterms:modified xsi:type="dcterms:W3CDTF">2026-07-14T21:04:23Z</dcterms:modified>
</cp:coreProperties>
</file>

<file path=docProps/custom.xml><?xml version="1.0" encoding="utf-8"?>
<Properties xmlns="http://schemas.openxmlformats.org/officeDocument/2006/custom-properties" xmlns:vt="http://schemas.openxmlformats.org/officeDocument/2006/docPropsVTypes"/>
</file>